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FF558" w14:textId="77777777" w:rsidR="00DD0139" w:rsidRDefault="00DD0139" w:rsidP="00DD0139">
      <w:pPr>
        <w:jc w:val="right"/>
        <w:rPr>
          <w:rFonts w:ascii="Times New Roman" w:hAnsi="Times New Roman"/>
          <w:b/>
          <w:sz w:val="24"/>
          <w:szCs w:val="20"/>
        </w:rPr>
      </w:pPr>
    </w:p>
    <w:p w14:paraId="47F3EFC2" w14:textId="77777777" w:rsidR="00DD0139" w:rsidRPr="00ED2500" w:rsidRDefault="00DD0139" w:rsidP="00DD0139">
      <w:pPr>
        <w:jc w:val="right"/>
        <w:rPr>
          <w:rFonts w:ascii="Times New Roman" w:hAnsi="Times New Roman"/>
          <w:b/>
          <w:sz w:val="28"/>
          <w:szCs w:val="20"/>
        </w:rPr>
      </w:pPr>
      <w:r w:rsidRPr="00ED2500">
        <w:rPr>
          <w:rFonts w:ascii="Times New Roman" w:hAnsi="Times New Roman"/>
          <w:b/>
          <w:sz w:val="28"/>
          <w:szCs w:val="20"/>
        </w:rPr>
        <w:t>Проект</w:t>
      </w:r>
    </w:p>
    <w:p w14:paraId="7AA1C0D9" w14:textId="77777777" w:rsidR="007E00EA" w:rsidRPr="00ED2500" w:rsidRDefault="009475E3" w:rsidP="00D8201F">
      <w:pPr>
        <w:keepNext/>
        <w:keepLines/>
        <w:spacing w:after="0" w:line="360" w:lineRule="auto"/>
        <w:ind w:firstLine="709"/>
        <w:jc w:val="right"/>
        <w:outlineLvl w:val="0"/>
        <w:rPr>
          <w:rFonts w:ascii="Times New Roman" w:eastAsia="Times New Roman" w:hAnsi="Times New Roman"/>
          <w:b/>
          <w:color w:val="000000"/>
          <w:sz w:val="24"/>
          <w:szCs w:val="24"/>
          <w:lang w:eastAsia="en-US"/>
        </w:rPr>
      </w:pPr>
      <w:bookmarkStart w:id="0" w:name="_Toc530262603"/>
      <w:bookmarkStart w:id="1" w:name="_Toc9861821"/>
      <w:r w:rsidRPr="00ED2500">
        <w:rPr>
          <w:rFonts w:ascii="Times New Roman" w:eastAsia="Times New Roman" w:hAnsi="Times New Roman"/>
          <w:b/>
          <w:color w:val="000000"/>
          <w:sz w:val="24"/>
          <w:szCs w:val="24"/>
          <w:lang w:eastAsia="en-US"/>
        </w:rPr>
        <w:t>Приложение 10</w:t>
      </w:r>
    </w:p>
    <w:p w14:paraId="2A704603" w14:textId="77777777" w:rsidR="009475E3" w:rsidRPr="00ED2500" w:rsidRDefault="009475E3" w:rsidP="007E00EA">
      <w:pPr>
        <w:keepNext/>
        <w:keepLines/>
        <w:spacing w:after="0"/>
        <w:ind w:firstLine="709"/>
        <w:jc w:val="center"/>
        <w:outlineLvl w:val="0"/>
        <w:rPr>
          <w:rFonts w:ascii="Times New Roman" w:eastAsia="Times New Roman" w:hAnsi="Times New Roman"/>
          <w:b/>
          <w:color w:val="000000"/>
          <w:sz w:val="24"/>
          <w:szCs w:val="24"/>
          <w:lang w:eastAsia="en-US"/>
        </w:rPr>
      </w:pPr>
      <w:r w:rsidRPr="00ED2500">
        <w:rPr>
          <w:rFonts w:ascii="Times New Roman" w:eastAsia="Times New Roman" w:hAnsi="Times New Roman"/>
          <w:b/>
          <w:color w:val="000000"/>
          <w:sz w:val="24"/>
          <w:szCs w:val="24"/>
          <w:lang w:eastAsia="en-US"/>
        </w:rPr>
        <w:t xml:space="preserve">ВЫБОР КОЭФФИЦИЕНТА ЗАПАСА УСТОЙЧИВОСТИ БОРТОВ, </w:t>
      </w:r>
      <w:r w:rsidRPr="00ED2500">
        <w:rPr>
          <w:rFonts w:ascii="Times New Roman" w:eastAsia="Times New Roman" w:hAnsi="Times New Roman"/>
          <w:b/>
          <w:color w:val="000000"/>
          <w:sz w:val="24"/>
          <w:szCs w:val="24"/>
          <w:lang w:eastAsia="en-US"/>
        </w:rPr>
        <w:br/>
        <w:t>ИХ УЧАСТКОВ, РАБОЧИХ И НЕРАБОЧИХ УСТУПОВ КАРЬЕРОВ И РАЗРЕЗОВ</w:t>
      </w:r>
      <w:bookmarkEnd w:id="0"/>
      <w:bookmarkEnd w:id="1"/>
    </w:p>
    <w:p w14:paraId="303A9A43" w14:textId="77777777" w:rsidR="009475E3" w:rsidRPr="00ED2500" w:rsidRDefault="009475E3" w:rsidP="00577763">
      <w:pPr>
        <w:spacing w:after="0" w:line="336"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 xml:space="preserve">1. Величина коэффициента запаса устойчивости </w:t>
      </w:r>
      <w:r w:rsidRPr="00ED2500">
        <w:rPr>
          <w:rFonts w:ascii="Times New Roman" w:eastAsia="Calibri" w:hAnsi="Times New Roman"/>
          <w:i/>
          <w:sz w:val="24"/>
          <w:szCs w:val="24"/>
          <w:lang w:val="en-US" w:eastAsia="en-US"/>
        </w:rPr>
        <w:t>n</w:t>
      </w:r>
      <w:r w:rsidRPr="00ED2500">
        <w:rPr>
          <w:rFonts w:ascii="Times New Roman" w:eastAsia="Calibri" w:hAnsi="Times New Roman"/>
          <w:i/>
          <w:sz w:val="24"/>
          <w:szCs w:val="24"/>
          <w:lang w:eastAsia="en-US"/>
        </w:rPr>
        <w:t xml:space="preserve"> </w:t>
      </w:r>
      <w:r w:rsidRPr="00ED2500">
        <w:rPr>
          <w:rFonts w:ascii="Times New Roman" w:eastAsia="Calibri" w:hAnsi="Times New Roman"/>
          <w:sz w:val="24"/>
          <w:szCs w:val="24"/>
          <w:lang w:eastAsia="en-US"/>
        </w:rPr>
        <w:t>устанавливается в зависимости от достоверности исходных данных, используемых в расчетах, их изменяемости во времени, технологии разработки месторождения, динамических воздействий в процессе строительства и эксплуатации, категории охраняемых объектов в непосредственной близости от борта карьера путём произведения частных коэффициентов, необходимых к учёту в тех или иных условиях. В общем виде вычисление коэффициента запаса устойчивости представляется как:</w:t>
      </w:r>
    </w:p>
    <w:p w14:paraId="533CC685" w14:textId="77777777" w:rsidR="009475E3" w:rsidRPr="00ED2500" w:rsidRDefault="009475E3" w:rsidP="00577763">
      <w:pPr>
        <w:spacing w:after="0" w:line="336" w:lineRule="auto"/>
        <w:ind w:firstLine="709"/>
        <w:jc w:val="right"/>
        <w:rPr>
          <w:rFonts w:ascii="Times New Roman" w:eastAsia="Calibri" w:hAnsi="Times New Roman"/>
          <w:sz w:val="24"/>
          <w:szCs w:val="24"/>
          <w:lang w:eastAsia="en-US"/>
        </w:rPr>
      </w:pPr>
      <w:r w:rsidRPr="00ED2500">
        <w:rPr>
          <w:rFonts w:ascii="Times New Roman" w:eastAsia="Times New Roman" w:hAnsi="Times New Roman"/>
          <w:sz w:val="24"/>
          <w:szCs w:val="24"/>
          <w:lang w:eastAsia="en-US"/>
        </w:rPr>
        <w:t xml:space="preserve">    </w:t>
      </w:r>
      <m:oMath>
        <m:r>
          <w:rPr>
            <w:rFonts w:ascii="Cambria Math" w:eastAsia="Calibri" w:hAnsi="Cambria Math"/>
            <w:sz w:val="24"/>
            <w:szCs w:val="24"/>
            <w:lang w:eastAsia="en-US"/>
          </w:rPr>
          <m:t>n</m:t>
        </m:r>
        <m:r>
          <w:rPr>
            <w:rFonts w:ascii="Cambria Math" w:eastAsia="Calibri" w:hAnsi="Times New Roman"/>
            <w:sz w:val="24"/>
            <w:szCs w:val="24"/>
            <w:lang w:eastAsia="en-US"/>
          </w:rPr>
          <m:t>=</m:t>
        </m:r>
        <m:sSub>
          <m:sSubPr>
            <m:ctrlPr>
              <w:rPr>
                <w:rFonts w:ascii="Cambria Math" w:eastAsia="Calibri" w:hAnsi="Times New Roman"/>
                <w:i/>
                <w:sz w:val="24"/>
                <w:szCs w:val="24"/>
                <w:lang w:eastAsia="en-US"/>
              </w:rPr>
            </m:ctrlPr>
          </m:sSubPr>
          <m:e>
            <m:r>
              <w:rPr>
                <w:rFonts w:ascii="Cambria Math" w:eastAsia="Calibri" w:hAnsi="Cambria Math"/>
                <w:sz w:val="24"/>
                <w:szCs w:val="24"/>
                <w:lang w:eastAsia="en-US"/>
              </w:rPr>
              <m:t>n</m:t>
            </m:r>
          </m:e>
          <m:sub>
            <m:r>
              <w:rPr>
                <w:rFonts w:ascii="Cambria Math" w:eastAsia="Calibri" w:hAnsi="Times New Roman"/>
                <w:sz w:val="24"/>
                <w:szCs w:val="24"/>
                <w:lang w:eastAsia="en-US"/>
              </w:rPr>
              <m:t>i</m:t>
            </m:r>
          </m:sub>
        </m:sSub>
        <m:sSub>
          <m:sSubPr>
            <m:ctrlPr>
              <w:rPr>
                <w:rFonts w:ascii="Cambria Math" w:eastAsia="Calibri" w:hAnsi="Times New Roman"/>
                <w:i/>
                <w:sz w:val="24"/>
                <w:szCs w:val="24"/>
                <w:lang w:eastAsia="en-US"/>
              </w:rPr>
            </m:ctrlPr>
          </m:sSubPr>
          <m:e>
            <m:r>
              <w:rPr>
                <w:rFonts w:ascii="Cambria Math" w:eastAsia="Calibri" w:hAnsi="Cambria Math"/>
                <w:sz w:val="24"/>
                <w:szCs w:val="24"/>
                <w:lang w:eastAsia="en-US"/>
              </w:rPr>
              <m:t>n</m:t>
            </m:r>
          </m:e>
          <m:sub>
            <m:r>
              <w:rPr>
                <w:rFonts w:ascii="Cambria Math" w:eastAsia="Calibri" w:hAnsi="Times New Roman"/>
                <w:sz w:val="24"/>
                <w:szCs w:val="24"/>
                <w:lang w:eastAsia="en-US"/>
              </w:rPr>
              <m:t>i+1</m:t>
            </m:r>
          </m:sub>
        </m:sSub>
        <m:r>
          <w:rPr>
            <w:rFonts w:ascii="Cambria Math" w:eastAsia="Calibri" w:hAnsi="Times New Roman"/>
            <w:sz w:val="24"/>
            <w:szCs w:val="24"/>
            <w:lang w:eastAsia="en-US"/>
          </w:rPr>
          <m:t>…</m:t>
        </m:r>
        <m:r>
          <w:rPr>
            <w:rFonts w:ascii="Cambria Math" w:eastAsia="Calibri" w:hAnsi="Times New Roman"/>
            <w:sz w:val="24"/>
            <w:szCs w:val="24"/>
            <w:lang w:eastAsia="en-US"/>
          </w:rPr>
          <m:t>.</m:t>
        </m:r>
        <m:sSub>
          <m:sSubPr>
            <m:ctrlPr>
              <w:rPr>
                <w:rFonts w:ascii="Cambria Math" w:eastAsia="Calibri" w:hAnsi="Times New Roman"/>
                <w:i/>
                <w:sz w:val="24"/>
                <w:szCs w:val="24"/>
                <w:lang w:eastAsia="en-US"/>
              </w:rPr>
            </m:ctrlPr>
          </m:sSubPr>
          <m:e>
            <m:r>
              <w:rPr>
                <w:rFonts w:ascii="Cambria Math" w:eastAsia="Calibri" w:hAnsi="Cambria Math"/>
                <w:sz w:val="24"/>
                <w:szCs w:val="24"/>
                <w:lang w:eastAsia="en-US"/>
              </w:rPr>
              <m:t>n</m:t>
            </m:r>
          </m:e>
          <m:sub>
            <m:r>
              <w:rPr>
                <w:rFonts w:ascii="Cambria Math" w:eastAsia="Calibri" w:hAnsi="Cambria Math"/>
                <w:sz w:val="24"/>
                <w:szCs w:val="24"/>
                <w:lang w:eastAsia="en-US"/>
              </w:rPr>
              <m:t>k</m:t>
            </m:r>
          </m:sub>
        </m:sSub>
      </m:oMath>
      <w:r w:rsidRPr="00ED2500">
        <w:rPr>
          <w:rFonts w:ascii="Times New Roman" w:eastAsia="Times New Roman" w:hAnsi="Times New Roman"/>
          <w:sz w:val="24"/>
          <w:szCs w:val="24"/>
          <w:lang w:eastAsia="en-US"/>
        </w:rPr>
        <w:t xml:space="preserve">                                (10.1)</w:t>
      </w:r>
    </w:p>
    <w:p w14:paraId="5D98AF69" w14:textId="77777777" w:rsidR="009475E3" w:rsidRPr="00ED2500" w:rsidRDefault="009475E3" w:rsidP="00577763">
      <w:pPr>
        <w:spacing w:after="0" w:line="336" w:lineRule="auto"/>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 xml:space="preserve">где </w:t>
      </w:r>
      <w:r w:rsidRPr="00ED2500">
        <w:rPr>
          <w:rFonts w:ascii="Times New Roman" w:eastAsia="Calibri" w:hAnsi="Times New Roman"/>
          <w:sz w:val="24"/>
          <w:szCs w:val="24"/>
          <w:lang w:val="en-US" w:eastAsia="en-US"/>
        </w:rPr>
        <w:t>n</w:t>
      </w:r>
      <w:r w:rsidRPr="00ED2500">
        <w:rPr>
          <w:rFonts w:ascii="Times New Roman" w:eastAsia="Calibri" w:hAnsi="Times New Roman"/>
          <w:i/>
          <w:sz w:val="24"/>
          <w:szCs w:val="24"/>
          <w:vertAlign w:val="subscript"/>
          <w:lang w:val="en-US" w:eastAsia="en-US"/>
        </w:rPr>
        <w:t>i</w:t>
      </w:r>
      <w:r w:rsidRPr="00ED2500">
        <w:rPr>
          <w:rFonts w:ascii="Times New Roman" w:eastAsia="Calibri" w:hAnsi="Times New Roman"/>
          <w:sz w:val="24"/>
          <w:szCs w:val="24"/>
          <w:lang w:eastAsia="en-US"/>
        </w:rPr>
        <w:t xml:space="preserve"> – частные коэффициенты запаса.</w:t>
      </w:r>
    </w:p>
    <w:p w14:paraId="458E39D8" w14:textId="77777777" w:rsidR="009475E3" w:rsidRPr="00ED2500" w:rsidRDefault="009475E3" w:rsidP="00577763">
      <w:pPr>
        <w:spacing w:after="0" w:line="336"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В различных условиях величина коэффициента запаса устойчивости определяется различным сочетанием частных коэффициентов. Обязательно должны быть установлены коэффициенты согласно факторам, указанным в п.п 2-10.</w:t>
      </w:r>
    </w:p>
    <w:p w14:paraId="7C4DE01E" w14:textId="77777777" w:rsidR="009475E3" w:rsidRPr="00ED2500" w:rsidRDefault="009475E3" w:rsidP="00577763">
      <w:pPr>
        <w:spacing w:after="0" w:line="336"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 xml:space="preserve">2. Величины нормативных коэффициентов запаса устойчивости бортов и уступов для сейсмически спокойных районов в зависимости от стадии освоения месторождения и способа получения исходных характеристик, входящих в расчеты, приведены в табл. </w:t>
      </w:r>
      <w:r w:rsidR="00577763" w:rsidRPr="00ED2500">
        <w:rPr>
          <w:rFonts w:ascii="Times New Roman" w:eastAsia="Calibri" w:hAnsi="Times New Roman"/>
          <w:sz w:val="24"/>
          <w:szCs w:val="24"/>
          <w:lang w:eastAsia="en-US"/>
        </w:rPr>
        <w:t>10.</w:t>
      </w:r>
      <w:r w:rsidRPr="00ED2500">
        <w:rPr>
          <w:rFonts w:ascii="Times New Roman" w:eastAsia="Calibri" w:hAnsi="Times New Roman"/>
          <w:sz w:val="24"/>
          <w:szCs w:val="24"/>
          <w:lang w:eastAsia="en-US"/>
        </w:rPr>
        <w:t xml:space="preserve">1. Коэффициенты запаса устойчивости отвалов приведены в табл. </w:t>
      </w:r>
      <w:r w:rsidR="00577763" w:rsidRPr="00ED2500">
        <w:rPr>
          <w:rFonts w:ascii="Times New Roman" w:eastAsia="Calibri" w:hAnsi="Times New Roman"/>
          <w:sz w:val="24"/>
          <w:szCs w:val="24"/>
          <w:lang w:eastAsia="en-US"/>
        </w:rPr>
        <w:t>10.</w:t>
      </w:r>
      <w:r w:rsidRPr="00ED2500">
        <w:rPr>
          <w:rFonts w:ascii="Times New Roman" w:eastAsia="Calibri" w:hAnsi="Times New Roman"/>
          <w:sz w:val="24"/>
          <w:szCs w:val="24"/>
          <w:lang w:eastAsia="en-US"/>
        </w:rPr>
        <w:t>2.</w:t>
      </w:r>
    </w:p>
    <w:p w14:paraId="529BD822" w14:textId="77777777" w:rsidR="009475E3" w:rsidRPr="00ED2500" w:rsidRDefault="009475E3" w:rsidP="004E16C8">
      <w:pPr>
        <w:spacing w:after="0" w:line="240" w:lineRule="auto"/>
        <w:jc w:val="both"/>
        <w:rPr>
          <w:rFonts w:ascii="Times New Roman" w:eastAsia="Calibri" w:hAnsi="Times New Roman"/>
          <w:color w:val="000000"/>
          <w:sz w:val="24"/>
          <w:szCs w:val="24"/>
          <w:lang w:eastAsia="en-US"/>
        </w:rPr>
      </w:pPr>
      <w:r w:rsidRPr="00ED2500">
        <w:rPr>
          <w:rFonts w:ascii="Times New Roman" w:eastAsia="Calibri" w:hAnsi="Times New Roman"/>
          <w:b/>
          <w:color w:val="000000"/>
          <w:sz w:val="24"/>
          <w:szCs w:val="24"/>
          <w:lang w:eastAsia="en-US"/>
        </w:rPr>
        <w:t xml:space="preserve">Таблица </w:t>
      </w:r>
      <w:r w:rsidR="004E16C8" w:rsidRPr="00ED2500">
        <w:rPr>
          <w:rFonts w:ascii="Times New Roman" w:eastAsia="Calibri" w:hAnsi="Times New Roman"/>
          <w:b/>
          <w:color w:val="000000"/>
          <w:sz w:val="24"/>
          <w:szCs w:val="24"/>
          <w:lang w:eastAsia="en-US"/>
        </w:rPr>
        <w:t>10.</w:t>
      </w:r>
      <w:r w:rsidRPr="00ED2500">
        <w:rPr>
          <w:rFonts w:ascii="Times New Roman" w:eastAsia="Calibri" w:hAnsi="Times New Roman"/>
          <w:b/>
          <w:color w:val="000000"/>
          <w:sz w:val="24"/>
          <w:szCs w:val="24"/>
          <w:lang w:eastAsia="en-US"/>
        </w:rPr>
        <w:t>1</w:t>
      </w:r>
      <w:r w:rsidRPr="00ED2500">
        <w:rPr>
          <w:rFonts w:ascii="Times New Roman" w:eastAsia="Calibri" w:hAnsi="Times New Roman"/>
          <w:color w:val="000000"/>
          <w:sz w:val="24"/>
          <w:szCs w:val="24"/>
          <w:lang w:eastAsia="en-US"/>
        </w:rPr>
        <w:t xml:space="preserve"> –Величины нормативного коэффициента запаса устойчивости в сейсмически спокойных районах для уступов и бортов, сложенных скальными и полускальными породами</w:t>
      </w:r>
    </w:p>
    <w:tbl>
      <w:tblPr>
        <w:tblStyle w:val="61"/>
        <w:tblW w:w="0" w:type="auto"/>
        <w:jc w:val="center"/>
        <w:tblLayout w:type="fixed"/>
        <w:tblCellMar>
          <w:left w:w="28" w:type="dxa"/>
          <w:right w:w="28" w:type="dxa"/>
        </w:tblCellMar>
        <w:tblLook w:val="04A0" w:firstRow="1" w:lastRow="0" w:firstColumn="1" w:lastColumn="0" w:noHBand="0" w:noVBand="1"/>
      </w:tblPr>
      <w:tblGrid>
        <w:gridCol w:w="475"/>
        <w:gridCol w:w="2922"/>
        <w:gridCol w:w="426"/>
        <w:gridCol w:w="567"/>
        <w:gridCol w:w="429"/>
        <w:gridCol w:w="421"/>
        <w:gridCol w:w="567"/>
        <w:gridCol w:w="567"/>
        <w:gridCol w:w="425"/>
        <w:gridCol w:w="567"/>
        <w:gridCol w:w="426"/>
        <w:gridCol w:w="425"/>
        <w:gridCol w:w="567"/>
        <w:gridCol w:w="425"/>
      </w:tblGrid>
      <w:tr w:rsidR="009475E3" w:rsidRPr="00ED2500" w14:paraId="7DC69807" w14:textId="77777777" w:rsidTr="002668AA">
        <w:trPr>
          <w:jc w:val="center"/>
        </w:trPr>
        <w:tc>
          <w:tcPr>
            <w:tcW w:w="3397" w:type="dxa"/>
            <w:gridSpan w:val="2"/>
            <w:vMerge w:val="restart"/>
            <w:vAlign w:val="center"/>
          </w:tcPr>
          <w:p w14:paraId="3FBF664B" w14:textId="77777777" w:rsidR="009475E3" w:rsidRPr="00ED2500" w:rsidRDefault="009475E3" w:rsidP="009475E3">
            <w:pPr>
              <w:jc w:val="center"/>
              <w:rPr>
                <w:rFonts w:ascii="Times New Roman" w:hAnsi="Times New Roman"/>
                <w:color w:val="000000"/>
                <w:sz w:val="20"/>
                <w:szCs w:val="24"/>
              </w:rPr>
            </w:pPr>
            <w:r w:rsidRPr="00ED2500">
              <w:rPr>
                <w:rFonts w:ascii="Times New Roman" w:hAnsi="Times New Roman"/>
                <w:sz w:val="20"/>
                <w:szCs w:val="24"/>
              </w:rPr>
              <w:t>Стадия освоения месторождения</w:t>
            </w:r>
          </w:p>
        </w:tc>
        <w:tc>
          <w:tcPr>
            <w:tcW w:w="5812" w:type="dxa"/>
            <w:gridSpan w:val="12"/>
            <w:vAlign w:val="center"/>
          </w:tcPr>
          <w:p w14:paraId="2CC43233" w14:textId="77777777" w:rsidR="009475E3" w:rsidRPr="00ED2500" w:rsidRDefault="009475E3" w:rsidP="009475E3">
            <w:pPr>
              <w:jc w:val="center"/>
              <w:rPr>
                <w:rFonts w:ascii="Times New Roman" w:hAnsi="Times New Roman"/>
                <w:color w:val="000000"/>
                <w:sz w:val="20"/>
                <w:szCs w:val="24"/>
              </w:rPr>
            </w:pPr>
            <w:r w:rsidRPr="00ED2500">
              <w:rPr>
                <w:rFonts w:ascii="Times New Roman" w:hAnsi="Times New Roman"/>
                <w:color w:val="000000"/>
                <w:sz w:val="20"/>
                <w:szCs w:val="24"/>
              </w:rPr>
              <w:t>Сроки службы</w:t>
            </w:r>
          </w:p>
        </w:tc>
      </w:tr>
      <w:tr w:rsidR="009475E3" w:rsidRPr="00ED2500" w14:paraId="6E3037C0" w14:textId="77777777" w:rsidTr="002668AA">
        <w:trPr>
          <w:jc w:val="center"/>
        </w:trPr>
        <w:tc>
          <w:tcPr>
            <w:tcW w:w="3397" w:type="dxa"/>
            <w:gridSpan w:val="2"/>
            <w:vMerge/>
            <w:vAlign w:val="center"/>
          </w:tcPr>
          <w:p w14:paraId="46C34C03" w14:textId="77777777" w:rsidR="009475E3" w:rsidRPr="00ED2500" w:rsidRDefault="009475E3" w:rsidP="009475E3">
            <w:pPr>
              <w:jc w:val="both"/>
              <w:rPr>
                <w:rFonts w:ascii="Times New Roman" w:hAnsi="Times New Roman"/>
                <w:color w:val="000000"/>
                <w:sz w:val="20"/>
                <w:szCs w:val="24"/>
              </w:rPr>
            </w:pPr>
          </w:p>
        </w:tc>
        <w:tc>
          <w:tcPr>
            <w:tcW w:w="1422" w:type="dxa"/>
            <w:gridSpan w:val="3"/>
            <w:vAlign w:val="center"/>
          </w:tcPr>
          <w:p w14:paraId="4D47F883"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до 5 лет</w:t>
            </w:r>
          </w:p>
        </w:tc>
        <w:tc>
          <w:tcPr>
            <w:tcW w:w="1555" w:type="dxa"/>
            <w:gridSpan w:val="3"/>
            <w:vAlign w:val="center"/>
          </w:tcPr>
          <w:p w14:paraId="5D15A93B"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более 5 лет</w:t>
            </w:r>
          </w:p>
        </w:tc>
        <w:tc>
          <w:tcPr>
            <w:tcW w:w="1418" w:type="dxa"/>
            <w:gridSpan w:val="3"/>
            <w:noWrap/>
            <w:vAlign w:val="center"/>
          </w:tcPr>
          <w:p w14:paraId="230A2F00"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более 15 лет</w:t>
            </w:r>
          </w:p>
        </w:tc>
        <w:tc>
          <w:tcPr>
            <w:tcW w:w="1417" w:type="dxa"/>
            <w:gridSpan w:val="3"/>
            <w:vAlign w:val="center"/>
          </w:tcPr>
          <w:p w14:paraId="58B9E26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более 30 лет</w:t>
            </w:r>
          </w:p>
        </w:tc>
      </w:tr>
      <w:tr w:rsidR="009475E3" w:rsidRPr="00ED2500" w14:paraId="1B7B61D6" w14:textId="77777777" w:rsidTr="002668AA">
        <w:trPr>
          <w:trHeight w:val="983"/>
          <w:jc w:val="center"/>
        </w:trPr>
        <w:tc>
          <w:tcPr>
            <w:tcW w:w="3397" w:type="dxa"/>
            <w:gridSpan w:val="2"/>
            <w:vMerge/>
            <w:vAlign w:val="center"/>
          </w:tcPr>
          <w:p w14:paraId="4AD7BDE1" w14:textId="77777777" w:rsidR="009475E3" w:rsidRPr="00ED2500" w:rsidRDefault="009475E3" w:rsidP="009475E3">
            <w:pPr>
              <w:jc w:val="both"/>
              <w:rPr>
                <w:rFonts w:ascii="Times New Roman" w:hAnsi="Times New Roman"/>
                <w:color w:val="000000"/>
                <w:sz w:val="20"/>
                <w:szCs w:val="24"/>
              </w:rPr>
            </w:pPr>
          </w:p>
        </w:tc>
        <w:tc>
          <w:tcPr>
            <w:tcW w:w="426" w:type="dxa"/>
            <w:textDirection w:val="btLr"/>
            <w:vAlign w:val="center"/>
          </w:tcPr>
          <w:p w14:paraId="519C47C4"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борт</w:t>
            </w:r>
          </w:p>
        </w:tc>
        <w:tc>
          <w:tcPr>
            <w:tcW w:w="567" w:type="dxa"/>
            <w:textDirection w:val="btLr"/>
            <w:vAlign w:val="center"/>
          </w:tcPr>
          <w:p w14:paraId="7379FAA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участок борта</w:t>
            </w:r>
          </w:p>
        </w:tc>
        <w:tc>
          <w:tcPr>
            <w:tcW w:w="429" w:type="dxa"/>
            <w:textDirection w:val="btLr"/>
            <w:vAlign w:val="center"/>
          </w:tcPr>
          <w:p w14:paraId="29929BD6"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уступ</w:t>
            </w:r>
          </w:p>
        </w:tc>
        <w:tc>
          <w:tcPr>
            <w:tcW w:w="421" w:type="dxa"/>
            <w:textDirection w:val="btLr"/>
            <w:vAlign w:val="center"/>
          </w:tcPr>
          <w:p w14:paraId="78712440"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борт</w:t>
            </w:r>
          </w:p>
        </w:tc>
        <w:tc>
          <w:tcPr>
            <w:tcW w:w="567" w:type="dxa"/>
            <w:textDirection w:val="btLr"/>
            <w:vAlign w:val="center"/>
          </w:tcPr>
          <w:p w14:paraId="27889E57"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участок борта</w:t>
            </w:r>
          </w:p>
        </w:tc>
        <w:tc>
          <w:tcPr>
            <w:tcW w:w="567" w:type="dxa"/>
            <w:textDirection w:val="btLr"/>
            <w:vAlign w:val="center"/>
          </w:tcPr>
          <w:p w14:paraId="3F2F497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уступ</w:t>
            </w:r>
          </w:p>
        </w:tc>
        <w:tc>
          <w:tcPr>
            <w:tcW w:w="425" w:type="dxa"/>
            <w:textDirection w:val="btLr"/>
            <w:vAlign w:val="center"/>
          </w:tcPr>
          <w:p w14:paraId="14216C17"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борт</w:t>
            </w:r>
          </w:p>
        </w:tc>
        <w:tc>
          <w:tcPr>
            <w:tcW w:w="567" w:type="dxa"/>
            <w:textDirection w:val="btLr"/>
            <w:vAlign w:val="center"/>
          </w:tcPr>
          <w:p w14:paraId="613C6161"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участок борта</w:t>
            </w:r>
          </w:p>
        </w:tc>
        <w:tc>
          <w:tcPr>
            <w:tcW w:w="426" w:type="dxa"/>
            <w:textDirection w:val="btLr"/>
            <w:vAlign w:val="center"/>
          </w:tcPr>
          <w:p w14:paraId="6470BAD3"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уступ</w:t>
            </w:r>
          </w:p>
        </w:tc>
        <w:tc>
          <w:tcPr>
            <w:tcW w:w="425" w:type="dxa"/>
            <w:textDirection w:val="btLr"/>
            <w:vAlign w:val="center"/>
          </w:tcPr>
          <w:p w14:paraId="53BC22C4"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борт</w:t>
            </w:r>
          </w:p>
        </w:tc>
        <w:tc>
          <w:tcPr>
            <w:tcW w:w="567" w:type="dxa"/>
            <w:textDirection w:val="btLr"/>
            <w:vAlign w:val="center"/>
          </w:tcPr>
          <w:p w14:paraId="738EAB8A"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участок борта</w:t>
            </w:r>
          </w:p>
        </w:tc>
        <w:tc>
          <w:tcPr>
            <w:tcW w:w="425" w:type="dxa"/>
            <w:textDirection w:val="btLr"/>
            <w:vAlign w:val="center"/>
          </w:tcPr>
          <w:p w14:paraId="4357D461"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уступ</w:t>
            </w:r>
          </w:p>
        </w:tc>
      </w:tr>
      <w:tr w:rsidR="009475E3" w:rsidRPr="00ED2500" w14:paraId="5FB31DA6" w14:textId="77777777" w:rsidTr="002668AA">
        <w:trPr>
          <w:jc w:val="center"/>
        </w:trPr>
        <w:tc>
          <w:tcPr>
            <w:tcW w:w="475" w:type="dxa"/>
            <w:vMerge w:val="restart"/>
            <w:textDirection w:val="btLr"/>
            <w:vAlign w:val="center"/>
          </w:tcPr>
          <w:p w14:paraId="676504FD" w14:textId="77777777" w:rsidR="009475E3" w:rsidRPr="00ED2500" w:rsidRDefault="009475E3" w:rsidP="009475E3">
            <w:pPr>
              <w:jc w:val="center"/>
              <w:rPr>
                <w:rFonts w:ascii="Times New Roman" w:hAnsi="Times New Roman"/>
                <w:color w:val="000000"/>
                <w:sz w:val="20"/>
                <w:szCs w:val="24"/>
              </w:rPr>
            </w:pPr>
            <w:r w:rsidRPr="00ED2500">
              <w:rPr>
                <w:rFonts w:ascii="Times New Roman" w:hAnsi="Times New Roman"/>
                <w:sz w:val="20"/>
                <w:szCs w:val="24"/>
              </w:rPr>
              <w:t>Проектирование</w:t>
            </w:r>
          </w:p>
        </w:tc>
        <w:tc>
          <w:tcPr>
            <w:tcW w:w="2922" w:type="dxa"/>
            <w:vAlign w:val="center"/>
          </w:tcPr>
          <w:p w14:paraId="297D4B3B" w14:textId="77777777" w:rsidR="009475E3" w:rsidRPr="00ED2500" w:rsidRDefault="009475E3" w:rsidP="009475E3">
            <w:pPr>
              <w:jc w:val="both"/>
              <w:rPr>
                <w:rFonts w:ascii="Times New Roman" w:hAnsi="Times New Roman"/>
                <w:color w:val="000000"/>
                <w:sz w:val="20"/>
                <w:szCs w:val="24"/>
              </w:rPr>
            </w:pPr>
            <w:r w:rsidRPr="00ED2500">
              <w:rPr>
                <w:rFonts w:ascii="Times New Roman" w:hAnsi="Times New Roman"/>
                <w:sz w:val="20"/>
                <w:szCs w:val="24"/>
              </w:rPr>
              <w:t>по данным детальной разведки, методом аналогий</w:t>
            </w:r>
          </w:p>
        </w:tc>
        <w:tc>
          <w:tcPr>
            <w:tcW w:w="426" w:type="dxa"/>
            <w:vAlign w:val="center"/>
          </w:tcPr>
          <w:p w14:paraId="46BBF0C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1.4</w:t>
            </w:r>
          </w:p>
        </w:tc>
        <w:tc>
          <w:tcPr>
            <w:tcW w:w="567" w:type="dxa"/>
            <w:vAlign w:val="center"/>
          </w:tcPr>
          <w:p w14:paraId="33119E33"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1.4</w:t>
            </w:r>
          </w:p>
        </w:tc>
        <w:tc>
          <w:tcPr>
            <w:tcW w:w="429" w:type="dxa"/>
            <w:vAlign w:val="center"/>
          </w:tcPr>
          <w:p w14:paraId="45EEC71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2.0</w:t>
            </w:r>
          </w:p>
        </w:tc>
        <w:tc>
          <w:tcPr>
            <w:tcW w:w="421" w:type="dxa"/>
            <w:vAlign w:val="center"/>
          </w:tcPr>
          <w:p w14:paraId="7457CE6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1.5</w:t>
            </w:r>
          </w:p>
        </w:tc>
        <w:tc>
          <w:tcPr>
            <w:tcW w:w="567" w:type="dxa"/>
            <w:vAlign w:val="center"/>
          </w:tcPr>
          <w:p w14:paraId="6795856D"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1.5</w:t>
            </w:r>
          </w:p>
        </w:tc>
        <w:tc>
          <w:tcPr>
            <w:tcW w:w="567" w:type="dxa"/>
            <w:vAlign w:val="center"/>
          </w:tcPr>
          <w:p w14:paraId="6E2CA24D"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2.5</w:t>
            </w:r>
          </w:p>
        </w:tc>
        <w:tc>
          <w:tcPr>
            <w:tcW w:w="425" w:type="dxa"/>
            <w:vAlign w:val="center"/>
          </w:tcPr>
          <w:p w14:paraId="415B5FE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2.0</w:t>
            </w:r>
          </w:p>
        </w:tc>
        <w:tc>
          <w:tcPr>
            <w:tcW w:w="567" w:type="dxa"/>
            <w:vAlign w:val="center"/>
          </w:tcPr>
          <w:p w14:paraId="697B0B8A"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2.0</w:t>
            </w:r>
          </w:p>
        </w:tc>
        <w:tc>
          <w:tcPr>
            <w:tcW w:w="426" w:type="dxa"/>
            <w:vAlign w:val="center"/>
          </w:tcPr>
          <w:p w14:paraId="3076992E"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3.0</w:t>
            </w:r>
          </w:p>
        </w:tc>
        <w:tc>
          <w:tcPr>
            <w:tcW w:w="425" w:type="dxa"/>
            <w:vAlign w:val="center"/>
          </w:tcPr>
          <w:p w14:paraId="50DF50B4"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w:t>
            </w:r>
          </w:p>
        </w:tc>
        <w:tc>
          <w:tcPr>
            <w:tcW w:w="567" w:type="dxa"/>
            <w:vAlign w:val="center"/>
          </w:tcPr>
          <w:p w14:paraId="2227DED0"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w:t>
            </w:r>
          </w:p>
        </w:tc>
        <w:tc>
          <w:tcPr>
            <w:tcW w:w="425" w:type="dxa"/>
            <w:vAlign w:val="center"/>
          </w:tcPr>
          <w:p w14:paraId="6E9B87B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w:t>
            </w:r>
          </w:p>
        </w:tc>
      </w:tr>
      <w:tr w:rsidR="009475E3" w:rsidRPr="00ED2500" w14:paraId="60070314" w14:textId="77777777" w:rsidTr="002668AA">
        <w:trPr>
          <w:jc w:val="center"/>
        </w:trPr>
        <w:tc>
          <w:tcPr>
            <w:tcW w:w="475" w:type="dxa"/>
            <w:vMerge/>
            <w:vAlign w:val="center"/>
          </w:tcPr>
          <w:p w14:paraId="758547F0" w14:textId="77777777" w:rsidR="009475E3" w:rsidRPr="00ED2500" w:rsidRDefault="009475E3" w:rsidP="009475E3">
            <w:pPr>
              <w:jc w:val="both"/>
              <w:rPr>
                <w:rFonts w:ascii="Times New Roman" w:hAnsi="Times New Roman"/>
                <w:color w:val="000000"/>
                <w:sz w:val="20"/>
                <w:szCs w:val="24"/>
              </w:rPr>
            </w:pPr>
          </w:p>
        </w:tc>
        <w:tc>
          <w:tcPr>
            <w:tcW w:w="2922" w:type="dxa"/>
            <w:vAlign w:val="center"/>
          </w:tcPr>
          <w:p w14:paraId="1525ABD7" w14:textId="77777777" w:rsidR="009475E3" w:rsidRPr="00ED2500" w:rsidRDefault="009475E3" w:rsidP="009475E3">
            <w:pPr>
              <w:jc w:val="both"/>
              <w:rPr>
                <w:rFonts w:ascii="Times New Roman" w:hAnsi="Times New Roman"/>
                <w:color w:val="000000"/>
                <w:sz w:val="20"/>
                <w:szCs w:val="24"/>
              </w:rPr>
            </w:pPr>
            <w:r w:rsidRPr="00ED2500">
              <w:rPr>
                <w:rFonts w:ascii="Times New Roman" w:hAnsi="Times New Roman"/>
                <w:sz w:val="20"/>
                <w:szCs w:val="24"/>
              </w:rPr>
              <w:t>по данным кернового изучения массива горных пород</w:t>
            </w:r>
          </w:p>
        </w:tc>
        <w:tc>
          <w:tcPr>
            <w:tcW w:w="426" w:type="dxa"/>
            <w:vAlign w:val="center"/>
          </w:tcPr>
          <w:p w14:paraId="613E0F13"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w:t>
            </w:r>
          </w:p>
        </w:tc>
        <w:tc>
          <w:tcPr>
            <w:tcW w:w="567" w:type="dxa"/>
            <w:vAlign w:val="center"/>
          </w:tcPr>
          <w:p w14:paraId="24D5400B"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1.25</w:t>
            </w:r>
          </w:p>
        </w:tc>
        <w:tc>
          <w:tcPr>
            <w:tcW w:w="429" w:type="dxa"/>
            <w:vAlign w:val="center"/>
          </w:tcPr>
          <w:p w14:paraId="2406AE4E"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1.5</w:t>
            </w:r>
          </w:p>
        </w:tc>
        <w:tc>
          <w:tcPr>
            <w:tcW w:w="421" w:type="dxa"/>
            <w:vAlign w:val="center"/>
          </w:tcPr>
          <w:p w14:paraId="2F59A4AD"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567" w:type="dxa"/>
            <w:vAlign w:val="center"/>
          </w:tcPr>
          <w:p w14:paraId="1D0F5F7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567" w:type="dxa"/>
            <w:vAlign w:val="center"/>
          </w:tcPr>
          <w:p w14:paraId="71CEDB54"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2.0</w:t>
            </w:r>
          </w:p>
        </w:tc>
        <w:tc>
          <w:tcPr>
            <w:tcW w:w="425" w:type="dxa"/>
            <w:vAlign w:val="center"/>
          </w:tcPr>
          <w:p w14:paraId="27C12A11"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1.35</w:t>
            </w:r>
          </w:p>
        </w:tc>
        <w:tc>
          <w:tcPr>
            <w:tcW w:w="567" w:type="dxa"/>
            <w:vAlign w:val="center"/>
          </w:tcPr>
          <w:p w14:paraId="38778E17"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1.35</w:t>
            </w:r>
          </w:p>
        </w:tc>
        <w:tc>
          <w:tcPr>
            <w:tcW w:w="426" w:type="dxa"/>
            <w:vAlign w:val="center"/>
          </w:tcPr>
          <w:p w14:paraId="5D92DFDF"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2.10</w:t>
            </w:r>
          </w:p>
        </w:tc>
        <w:tc>
          <w:tcPr>
            <w:tcW w:w="425" w:type="dxa"/>
            <w:vAlign w:val="center"/>
          </w:tcPr>
          <w:p w14:paraId="66A34DD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1.63</w:t>
            </w:r>
          </w:p>
        </w:tc>
        <w:tc>
          <w:tcPr>
            <w:tcW w:w="567" w:type="dxa"/>
            <w:vAlign w:val="center"/>
          </w:tcPr>
          <w:p w14:paraId="21EE3D86"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1.63</w:t>
            </w:r>
          </w:p>
        </w:tc>
        <w:tc>
          <w:tcPr>
            <w:tcW w:w="425" w:type="dxa"/>
            <w:vAlign w:val="center"/>
          </w:tcPr>
          <w:p w14:paraId="4BBB004A"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2.5</w:t>
            </w:r>
          </w:p>
        </w:tc>
      </w:tr>
      <w:tr w:rsidR="009475E3" w:rsidRPr="00ED2500" w14:paraId="36B16587" w14:textId="77777777" w:rsidTr="002668AA">
        <w:trPr>
          <w:trHeight w:val="330"/>
          <w:jc w:val="center"/>
        </w:trPr>
        <w:tc>
          <w:tcPr>
            <w:tcW w:w="3397" w:type="dxa"/>
            <w:gridSpan w:val="2"/>
            <w:vMerge w:val="restart"/>
            <w:vAlign w:val="center"/>
          </w:tcPr>
          <w:p w14:paraId="080DFB33" w14:textId="77777777" w:rsidR="009475E3" w:rsidRPr="00ED2500" w:rsidRDefault="009475E3" w:rsidP="009475E3">
            <w:pPr>
              <w:jc w:val="both"/>
              <w:rPr>
                <w:rFonts w:ascii="Times New Roman" w:hAnsi="Times New Roman"/>
                <w:color w:val="000000"/>
                <w:sz w:val="20"/>
                <w:szCs w:val="24"/>
              </w:rPr>
            </w:pPr>
            <w:r w:rsidRPr="00ED2500">
              <w:rPr>
                <w:rFonts w:ascii="Times New Roman" w:hAnsi="Times New Roman"/>
                <w:sz w:val="20"/>
                <w:szCs w:val="24"/>
              </w:rPr>
              <w:t>Постановка борта по результатам длительного изучения массива на больших обнажениях</w:t>
            </w:r>
          </w:p>
        </w:tc>
        <w:tc>
          <w:tcPr>
            <w:tcW w:w="426" w:type="dxa"/>
            <w:vAlign w:val="center"/>
          </w:tcPr>
          <w:p w14:paraId="1B6A7A5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w:t>
            </w:r>
          </w:p>
        </w:tc>
        <w:tc>
          <w:tcPr>
            <w:tcW w:w="567" w:type="dxa"/>
            <w:vAlign w:val="center"/>
          </w:tcPr>
          <w:p w14:paraId="5EE438E4"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w:t>
            </w:r>
          </w:p>
        </w:tc>
        <w:tc>
          <w:tcPr>
            <w:tcW w:w="429" w:type="dxa"/>
            <w:vAlign w:val="center"/>
          </w:tcPr>
          <w:p w14:paraId="7467622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w:t>
            </w:r>
          </w:p>
        </w:tc>
        <w:tc>
          <w:tcPr>
            <w:tcW w:w="421" w:type="dxa"/>
            <w:vAlign w:val="center"/>
          </w:tcPr>
          <w:p w14:paraId="3D2CB45A"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567" w:type="dxa"/>
            <w:vAlign w:val="center"/>
          </w:tcPr>
          <w:p w14:paraId="770FC03A"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567" w:type="dxa"/>
            <w:vAlign w:val="center"/>
          </w:tcPr>
          <w:p w14:paraId="324E619D"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2.0</w:t>
            </w:r>
          </w:p>
        </w:tc>
        <w:tc>
          <w:tcPr>
            <w:tcW w:w="425" w:type="dxa"/>
            <w:vAlign w:val="center"/>
          </w:tcPr>
          <w:p w14:paraId="04039749"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567" w:type="dxa"/>
            <w:vAlign w:val="center"/>
          </w:tcPr>
          <w:p w14:paraId="18CF776E"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426" w:type="dxa"/>
            <w:vAlign w:val="center"/>
          </w:tcPr>
          <w:p w14:paraId="6A257B5E"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2.0</w:t>
            </w:r>
          </w:p>
        </w:tc>
        <w:tc>
          <w:tcPr>
            <w:tcW w:w="425" w:type="dxa"/>
            <w:vAlign w:val="center"/>
          </w:tcPr>
          <w:p w14:paraId="3AFABF2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1.35</w:t>
            </w:r>
          </w:p>
        </w:tc>
        <w:tc>
          <w:tcPr>
            <w:tcW w:w="567" w:type="dxa"/>
            <w:vAlign w:val="center"/>
          </w:tcPr>
          <w:p w14:paraId="40834A1A"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1.35</w:t>
            </w:r>
          </w:p>
        </w:tc>
        <w:tc>
          <w:tcPr>
            <w:tcW w:w="425" w:type="dxa"/>
            <w:vAlign w:val="center"/>
          </w:tcPr>
          <w:p w14:paraId="07BE9D9E"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2.1</w:t>
            </w:r>
          </w:p>
        </w:tc>
      </w:tr>
      <w:tr w:rsidR="009475E3" w:rsidRPr="00ED2500" w14:paraId="47D8D629" w14:textId="77777777" w:rsidTr="002668AA">
        <w:trPr>
          <w:trHeight w:val="331"/>
          <w:jc w:val="center"/>
        </w:trPr>
        <w:tc>
          <w:tcPr>
            <w:tcW w:w="3397" w:type="dxa"/>
            <w:gridSpan w:val="2"/>
            <w:vMerge/>
            <w:vAlign w:val="center"/>
          </w:tcPr>
          <w:p w14:paraId="4E90CF8C" w14:textId="77777777" w:rsidR="009475E3" w:rsidRPr="00ED2500" w:rsidRDefault="009475E3" w:rsidP="009475E3">
            <w:pPr>
              <w:jc w:val="both"/>
              <w:rPr>
                <w:rFonts w:ascii="Times New Roman" w:hAnsi="Times New Roman"/>
                <w:color w:val="000000"/>
                <w:sz w:val="20"/>
                <w:szCs w:val="24"/>
              </w:rPr>
            </w:pPr>
          </w:p>
        </w:tc>
        <w:tc>
          <w:tcPr>
            <w:tcW w:w="1422" w:type="dxa"/>
            <w:gridSpan w:val="3"/>
            <w:vAlign w:val="center"/>
          </w:tcPr>
          <w:p w14:paraId="2477101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до 1 года</w:t>
            </w:r>
          </w:p>
        </w:tc>
        <w:tc>
          <w:tcPr>
            <w:tcW w:w="1555" w:type="dxa"/>
            <w:gridSpan w:val="3"/>
            <w:vAlign w:val="center"/>
          </w:tcPr>
          <w:p w14:paraId="06B1213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от 1 до 2 лет</w:t>
            </w:r>
          </w:p>
        </w:tc>
        <w:tc>
          <w:tcPr>
            <w:tcW w:w="1418" w:type="dxa"/>
            <w:gridSpan w:val="3"/>
            <w:vAlign w:val="center"/>
          </w:tcPr>
          <w:p w14:paraId="5454132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от 2 до 3 лет</w:t>
            </w:r>
          </w:p>
        </w:tc>
        <w:tc>
          <w:tcPr>
            <w:tcW w:w="1417" w:type="dxa"/>
            <w:gridSpan w:val="3"/>
            <w:vAlign w:val="center"/>
          </w:tcPr>
          <w:p w14:paraId="387050CF"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от 3 до 5 лет</w:t>
            </w:r>
          </w:p>
        </w:tc>
      </w:tr>
      <w:tr w:rsidR="009475E3" w:rsidRPr="00ED2500" w14:paraId="0E971CA1" w14:textId="77777777" w:rsidTr="002668AA">
        <w:trPr>
          <w:trHeight w:val="331"/>
          <w:jc w:val="center"/>
        </w:trPr>
        <w:tc>
          <w:tcPr>
            <w:tcW w:w="3397" w:type="dxa"/>
            <w:gridSpan w:val="2"/>
            <w:vMerge/>
            <w:vAlign w:val="center"/>
          </w:tcPr>
          <w:p w14:paraId="649CCF3D" w14:textId="77777777" w:rsidR="009475E3" w:rsidRPr="00ED2500" w:rsidRDefault="009475E3" w:rsidP="009475E3">
            <w:pPr>
              <w:jc w:val="both"/>
              <w:rPr>
                <w:rFonts w:ascii="Times New Roman" w:hAnsi="Times New Roman"/>
                <w:color w:val="000000"/>
                <w:sz w:val="20"/>
                <w:szCs w:val="24"/>
              </w:rPr>
            </w:pPr>
          </w:p>
        </w:tc>
        <w:tc>
          <w:tcPr>
            <w:tcW w:w="426" w:type="dxa"/>
            <w:vAlign w:val="center"/>
          </w:tcPr>
          <w:p w14:paraId="6EC74A06"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1.1</w:t>
            </w:r>
          </w:p>
        </w:tc>
        <w:tc>
          <w:tcPr>
            <w:tcW w:w="567" w:type="dxa"/>
            <w:vAlign w:val="center"/>
          </w:tcPr>
          <w:p w14:paraId="6E6FB379"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1.15</w:t>
            </w:r>
          </w:p>
        </w:tc>
        <w:tc>
          <w:tcPr>
            <w:tcW w:w="429" w:type="dxa"/>
            <w:vAlign w:val="center"/>
          </w:tcPr>
          <w:p w14:paraId="4E452D5B"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421" w:type="dxa"/>
            <w:vAlign w:val="center"/>
          </w:tcPr>
          <w:p w14:paraId="4EE9D466"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1.15</w:t>
            </w:r>
          </w:p>
        </w:tc>
        <w:tc>
          <w:tcPr>
            <w:tcW w:w="567" w:type="dxa"/>
            <w:vAlign w:val="center"/>
          </w:tcPr>
          <w:p w14:paraId="7B862CCF"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w:t>
            </w:r>
          </w:p>
        </w:tc>
        <w:tc>
          <w:tcPr>
            <w:tcW w:w="567" w:type="dxa"/>
            <w:vAlign w:val="center"/>
          </w:tcPr>
          <w:p w14:paraId="657206A5"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1.35</w:t>
            </w:r>
          </w:p>
        </w:tc>
        <w:tc>
          <w:tcPr>
            <w:tcW w:w="425" w:type="dxa"/>
            <w:vAlign w:val="center"/>
          </w:tcPr>
          <w:p w14:paraId="6275D51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w:t>
            </w:r>
          </w:p>
        </w:tc>
        <w:tc>
          <w:tcPr>
            <w:tcW w:w="567" w:type="dxa"/>
            <w:vAlign w:val="center"/>
          </w:tcPr>
          <w:p w14:paraId="5D7D85F6"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1.25</w:t>
            </w:r>
          </w:p>
        </w:tc>
        <w:tc>
          <w:tcPr>
            <w:tcW w:w="426" w:type="dxa"/>
            <w:vAlign w:val="center"/>
          </w:tcPr>
          <w:p w14:paraId="338912B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1.4</w:t>
            </w:r>
          </w:p>
        </w:tc>
        <w:tc>
          <w:tcPr>
            <w:tcW w:w="425" w:type="dxa"/>
            <w:vAlign w:val="center"/>
          </w:tcPr>
          <w:p w14:paraId="2C9F18D2"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1.25</w:t>
            </w:r>
          </w:p>
        </w:tc>
        <w:tc>
          <w:tcPr>
            <w:tcW w:w="567" w:type="dxa"/>
            <w:vAlign w:val="center"/>
          </w:tcPr>
          <w:p w14:paraId="6E88082D"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1.3</w:t>
            </w:r>
          </w:p>
        </w:tc>
        <w:tc>
          <w:tcPr>
            <w:tcW w:w="425" w:type="dxa"/>
            <w:vAlign w:val="center"/>
          </w:tcPr>
          <w:p w14:paraId="73AEA905"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1.5</w:t>
            </w:r>
          </w:p>
        </w:tc>
      </w:tr>
    </w:tbl>
    <w:p w14:paraId="5632110C" w14:textId="77777777" w:rsidR="009475E3" w:rsidRPr="00ED2500" w:rsidRDefault="009475E3" w:rsidP="00665803">
      <w:pPr>
        <w:spacing w:after="0" w:line="240" w:lineRule="auto"/>
        <w:jc w:val="both"/>
        <w:rPr>
          <w:rFonts w:ascii="Times New Roman" w:eastAsia="Calibri" w:hAnsi="Times New Roman"/>
          <w:bCs/>
          <w:sz w:val="20"/>
          <w:szCs w:val="20"/>
          <w:lang w:eastAsia="en-US"/>
        </w:rPr>
      </w:pPr>
      <w:r w:rsidRPr="00ED2500">
        <w:rPr>
          <w:rFonts w:ascii="Times New Roman" w:eastAsia="Calibri" w:hAnsi="Times New Roman"/>
          <w:color w:val="000000"/>
          <w:sz w:val="20"/>
          <w:szCs w:val="20"/>
          <w:lang w:eastAsia="en-US"/>
        </w:rPr>
        <w:t xml:space="preserve">Примечание: </w:t>
      </w:r>
      <w:r w:rsidRPr="00ED2500">
        <w:rPr>
          <w:rFonts w:ascii="Times New Roman" w:eastAsia="Calibri" w:hAnsi="Times New Roman"/>
          <w:bCs/>
          <w:sz w:val="20"/>
          <w:szCs w:val="20"/>
          <w:lang w:eastAsia="en-US"/>
        </w:rPr>
        <w:t>участок борта – группа уступов, оконтуренная общей поверхностью скольжения, по которой выполняется оценка (прогноз) устойчивости всей группы откосов</w:t>
      </w:r>
    </w:p>
    <w:p w14:paraId="59C4DAEA" w14:textId="77777777" w:rsidR="00D8201F" w:rsidRPr="00ED2500" w:rsidRDefault="00D8201F" w:rsidP="00665803">
      <w:pPr>
        <w:spacing w:after="0" w:line="240" w:lineRule="auto"/>
        <w:jc w:val="both"/>
        <w:rPr>
          <w:rFonts w:ascii="Times New Roman" w:eastAsia="Calibri" w:hAnsi="Times New Roman"/>
          <w:bCs/>
          <w:sz w:val="20"/>
          <w:szCs w:val="20"/>
          <w:lang w:eastAsia="en-US"/>
        </w:rPr>
      </w:pPr>
    </w:p>
    <w:p w14:paraId="700F2FE0" w14:textId="77777777" w:rsidR="00D8201F" w:rsidRPr="00ED2500" w:rsidRDefault="00D8201F" w:rsidP="00D8201F">
      <w:pPr>
        <w:spacing w:after="0" w:line="360"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 xml:space="preserve">3. Выветривание, набухание, циклы замораживания-оттаивания приводят к снижению прочностных характеристик скального массива в краевых частях уступов до 60% от первоначального значения. При этом устойчивость уступа не меняется, но ширину </w:t>
      </w:r>
      <w:r w:rsidRPr="00ED2500">
        <w:rPr>
          <w:rFonts w:ascii="Times New Roman" w:eastAsia="Calibri" w:hAnsi="Times New Roman"/>
          <w:sz w:val="24"/>
          <w:szCs w:val="24"/>
          <w:lang w:eastAsia="en-US"/>
        </w:rPr>
        <w:lastRenderedPageBreak/>
        <w:t>берм между уступами принимают шире, чем это обусловлено требованиями устойчивости и длиной пробега обломков.</w:t>
      </w:r>
    </w:p>
    <w:p w14:paraId="11ACA1A9" w14:textId="77777777" w:rsidR="009475E3" w:rsidRPr="00ED2500" w:rsidRDefault="009475E3" w:rsidP="00665803">
      <w:pPr>
        <w:spacing w:after="0" w:line="240" w:lineRule="auto"/>
        <w:jc w:val="both"/>
        <w:rPr>
          <w:rFonts w:ascii="Times New Roman" w:eastAsia="Calibri" w:hAnsi="Times New Roman"/>
          <w:sz w:val="24"/>
          <w:szCs w:val="24"/>
          <w:lang w:eastAsia="en-US"/>
        </w:rPr>
      </w:pPr>
      <w:r w:rsidRPr="00ED2500">
        <w:rPr>
          <w:rFonts w:ascii="Times New Roman" w:eastAsia="Calibri" w:hAnsi="Times New Roman"/>
          <w:b/>
          <w:sz w:val="24"/>
          <w:szCs w:val="24"/>
          <w:lang w:eastAsia="en-US"/>
        </w:rPr>
        <w:t xml:space="preserve">Таблица </w:t>
      </w:r>
      <w:r w:rsidR="00665803" w:rsidRPr="00ED2500">
        <w:rPr>
          <w:rFonts w:ascii="Times New Roman" w:eastAsia="Calibri" w:hAnsi="Times New Roman"/>
          <w:b/>
          <w:sz w:val="24"/>
          <w:szCs w:val="24"/>
          <w:lang w:eastAsia="en-US"/>
        </w:rPr>
        <w:t>10.</w:t>
      </w:r>
      <w:r w:rsidRPr="00ED2500">
        <w:rPr>
          <w:rFonts w:ascii="Times New Roman" w:eastAsia="Calibri" w:hAnsi="Times New Roman"/>
          <w:b/>
          <w:sz w:val="24"/>
          <w:szCs w:val="24"/>
          <w:lang w:eastAsia="en-US"/>
        </w:rPr>
        <w:t>2</w:t>
      </w:r>
      <w:r w:rsidRPr="00ED2500">
        <w:rPr>
          <w:rFonts w:ascii="Times New Roman" w:eastAsia="Calibri" w:hAnsi="Times New Roman"/>
          <w:sz w:val="24"/>
          <w:szCs w:val="24"/>
          <w:lang w:eastAsia="en-US"/>
        </w:rPr>
        <w:t xml:space="preserve"> –Коэффициенты запаса устойчивости отвалов в зависимости от их высоты и строения основания</w:t>
      </w:r>
    </w:p>
    <w:tbl>
      <w:tblPr>
        <w:tblStyle w:val="61"/>
        <w:tblW w:w="0" w:type="auto"/>
        <w:jc w:val="center"/>
        <w:tblCellMar>
          <w:left w:w="28" w:type="dxa"/>
          <w:right w:w="28" w:type="dxa"/>
        </w:tblCellMar>
        <w:tblLook w:val="04A0" w:firstRow="1" w:lastRow="0" w:firstColumn="1" w:lastColumn="0" w:noHBand="0" w:noVBand="1"/>
      </w:tblPr>
      <w:tblGrid>
        <w:gridCol w:w="5906"/>
        <w:gridCol w:w="1460"/>
        <w:gridCol w:w="567"/>
        <w:gridCol w:w="1412"/>
      </w:tblGrid>
      <w:tr w:rsidR="009475E3" w:rsidRPr="00ED2500" w14:paraId="247BDA96" w14:textId="77777777" w:rsidTr="002668AA">
        <w:trPr>
          <w:trHeight w:val="465"/>
          <w:jc w:val="center"/>
        </w:trPr>
        <w:tc>
          <w:tcPr>
            <w:tcW w:w="5906" w:type="dxa"/>
            <w:vAlign w:val="center"/>
          </w:tcPr>
          <w:p w14:paraId="26C2787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Породы в основании отвала</w:t>
            </w:r>
          </w:p>
        </w:tc>
        <w:tc>
          <w:tcPr>
            <w:tcW w:w="3439" w:type="dxa"/>
            <w:gridSpan w:val="3"/>
            <w:vAlign w:val="center"/>
          </w:tcPr>
          <w:p w14:paraId="0D94E75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Высота отвала</w:t>
            </w:r>
          </w:p>
        </w:tc>
      </w:tr>
      <w:tr w:rsidR="009475E3" w:rsidRPr="00ED2500" w14:paraId="23CDE321" w14:textId="77777777" w:rsidTr="002668AA">
        <w:trPr>
          <w:jc w:val="center"/>
        </w:trPr>
        <w:tc>
          <w:tcPr>
            <w:tcW w:w="5906" w:type="dxa"/>
            <w:vAlign w:val="center"/>
          </w:tcPr>
          <w:p w14:paraId="3E7D6823" w14:textId="77777777" w:rsidR="009475E3" w:rsidRPr="00ED2500" w:rsidRDefault="009475E3" w:rsidP="009475E3">
            <w:pPr>
              <w:rPr>
                <w:rFonts w:ascii="Times New Roman" w:hAnsi="Times New Roman"/>
                <w:sz w:val="20"/>
                <w:szCs w:val="24"/>
              </w:rPr>
            </w:pPr>
            <w:r w:rsidRPr="00ED2500">
              <w:rPr>
                <w:rFonts w:ascii="Times New Roman" w:hAnsi="Times New Roman"/>
                <w:sz w:val="20"/>
                <w:szCs w:val="24"/>
              </w:rPr>
              <w:t>Скальные и вечномерзлые грунты (при сохранении их температурного режима)</w:t>
            </w:r>
          </w:p>
        </w:tc>
        <w:tc>
          <w:tcPr>
            <w:tcW w:w="1460" w:type="dxa"/>
            <w:vAlign w:val="center"/>
          </w:tcPr>
          <w:p w14:paraId="6C10D0AB"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Более 80</w:t>
            </w:r>
          </w:p>
        </w:tc>
        <w:tc>
          <w:tcPr>
            <w:tcW w:w="567" w:type="dxa"/>
            <w:vAlign w:val="center"/>
          </w:tcPr>
          <w:p w14:paraId="5C2214AC"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80</w:t>
            </w:r>
          </w:p>
        </w:tc>
        <w:tc>
          <w:tcPr>
            <w:tcW w:w="1412" w:type="dxa"/>
            <w:vAlign w:val="center"/>
          </w:tcPr>
          <w:p w14:paraId="228001B3"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Менее 50</w:t>
            </w:r>
          </w:p>
        </w:tc>
      </w:tr>
      <w:tr w:rsidR="009475E3" w:rsidRPr="00ED2500" w14:paraId="2EB900E6" w14:textId="77777777" w:rsidTr="002668AA">
        <w:trPr>
          <w:jc w:val="center"/>
        </w:trPr>
        <w:tc>
          <w:tcPr>
            <w:tcW w:w="5906" w:type="dxa"/>
            <w:vAlign w:val="center"/>
          </w:tcPr>
          <w:p w14:paraId="2C8F3E2F" w14:textId="77777777" w:rsidR="009475E3" w:rsidRPr="00ED2500" w:rsidRDefault="009475E3" w:rsidP="009475E3">
            <w:pPr>
              <w:rPr>
                <w:rFonts w:ascii="Times New Roman" w:hAnsi="Times New Roman"/>
                <w:sz w:val="20"/>
                <w:szCs w:val="24"/>
              </w:rPr>
            </w:pPr>
            <w:r w:rsidRPr="00ED2500">
              <w:rPr>
                <w:rFonts w:ascii="Times New Roman" w:hAnsi="Times New Roman"/>
                <w:sz w:val="20"/>
                <w:szCs w:val="24"/>
              </w:rPr>
              <w:t>Песчаные, крупнообломочные и глинистые в твердом и полутвердом состоянии</w:t>
            </w:r>
          </w:p>
        </w:tc>
        <w:tc>
          <w:tcPr>
            <w:tcW w:w="1460" w:type="dxa"/>
            <w:vAlign w:val="center"/>
          </w:tcPr>
          <w:p w14:paraId="0E5158B6"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Более 65</w:t>
            </w:r>
          </w:p>
        </w:tc>
        <w:tc>
          <w:tcPr>
            <w:tcW w:w="567" w:type="dxa"/>
            <w:vAlign w:val="center"/>
          </w:tcPr>
          <w:p w14:paraId="61C4E41B"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65</w:t>
            </w:r>
          </w:p>
        </w:tc>
        <w:tc>
          <w:tcPr>
            <w:tcW w:w="1412" w:type="dxa"/>
            <w:vAlign w:val="center"/>
          </w:tcPr>
          <w:p w14:paraId="596FBD2B"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Менее 35</w:t>
            </w:r>
          </w:p>
        </w:tc>
      </w:tr>
      <w:tr w:rsidR="009475E3" w:rsidRPr="00ED2500" w14:paraId="67843390" w14:textId="77777777" w:rsidTr="002668AA">
        <w:trPr>
          <w:jc w:val="center"/>
        </w:trPr>
        <w:tc>
          <w:tcPr>
            <w:tcW w:w="5906" w:type="dxa"/>
            <w:vMerge w:val="restart"/>
            <w:vAlign w:val="center"/>
          </w:tcPr>
          <w:p w14:paraId="0A644F13" w14:textId="77777777" w:rsidR="009475E3" w:rsidRPr="00ED2500" w:rsidRDefault="009475E3" w:rsidP="009475E3">
            <w:pPr>
              <w:rPr>
                <w:rFonts w:ascii="Times New Roman" w:hAnsi="Times New Roman"/>
                <w:sz w:val="20"/>
                <w:szCs w:val="24"/>
              </w:rPr>
            </w:pPr>
          </w:p>
        </w:tc>
        <w:tc>
          <w:tcPr>
            <w:tcW w:w="3439" w:type="dxa"/>
            <w:gridSpan w:val="3"/>
            <w:vAlign w:val="center"/>
          </w:tcPr>
          <w:p w14:paraId="453A455F"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Нормативный коэффициент</w:t>
            </w:r>
          </w:p>
        </w:tc>
      </w:tr>
      <w:tr w:rsidR="009475E3" w:rsidRPr="00ED2500" w14:paraId="71E32C13" w14:textId="77777777" w:rsidTr="002668AA">
        <w:trPr>
          <w:jc w:val="center"/>
        </w:trPr>
        <w:tc>
          <w:tcPr>
            <w:tcW w:w="5906" w:type="dxa"/>
            <w:vMerge/>
            <w:vAlign w:val="center"/>
          </w:tcPr>
          <w:p w14:paraId="55BB0449" w14:textId="77777777" w:rsidR="009475E3" w:rsidRPr="00ED2500" w:rsidRDefault="009475E3" w:rsidP="009475E3">
            <w:pPr>
              <w:rPr>
                <w:rFonts w:ascii="Times New Roman" w:hAnsi="Times New Roman"/>
                <w:sz w:val="20"/>
                <w:szCs w:val="24"/>
              </w:rPr>
            </w:pPr>
          </w:p>
        </w:tc>
        <w:tc>
          <w:tcPr>
            <w:tcW w:w="1460" w:type="dxa"/>
            <w:vAlign w:val="center"/>
          </w:tcPr>
          <w:p w14:paraId="02A050B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1,20</w:t>
            </w:r>
          </w:p>
        </w:tc>
        <w:tc>
          <w:tcPr>
            <w:tcW w:w="567" w:type="dxa"/>
            <w:vAlign w:val="center"/>
          </w:tcPr>
          <w:p w14:paraId="5B456168"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1,15</w:t>
            </w:r>
          </w:p>
        </w:tc>
        <w:tc>
          <w:tcPr>
            <w:tcW w:w="1412" w:type="dxa"/>
            <w:vAlign w:val="center"/>
          </w:tcPr>
          <w:p w14:paraId="0FB6C654" w14:textId="77777777" w:rsidR="009475E3" w:rsidRPr="00ED2500" w:rsidRDefault="009475E3" w:rsidP="009475E3">
            <w:pPr>
              <w:jc w:val="center"/>
              <w:rPr>
                <w:rFonts w:ascii="Times New Roman" w:hAnsi="Times New Roman"/>
                <w:sz w:val="20"/>
                <w:szCs w:val="24"/>
              </w:rPr>
            </w:pPr>
            <w:r w:rsidRPr="00ED2500">
              <w:rPr>
                <w:rFonts w:ascii="Times New Roman" w:hAnsi="Times New Roman"/>
                <w:sz w:val="20"/>
                <w:szCs w:val="24"/>
              </w:rPr>
              <w:t>1,10</w:t>
            </w:r>
          </w:p>
        </w:tc>
      </w:tr>
    </w:tbl>
    <w:p w14:paraId="331ED182" w14:textId="77777777" w:rsidR="009475E3" w:rsidRPr="00ED2500" w:rsidRDefault="009475E3" w:rsidP="009475E3">
      <w:pPr>
        <w:spacing w:after="0" w:line="360"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4. Нормативные коэффициенты запаса устойчивости бортов и уступов, сложенные песчаными и глинистыми породами и оформляемыми без применения взрывных работ, принимаются 1,15 при сроке службы менее 5 лет и 1,2 при сроке службы 5 и более лет.</w:t>
      </w:r>
    </w:p>
    <w:p w14:paraId="405844C3" w14:textId="77777777" w:rsidR="009475E3" w:rsidRPr="00ED2500" w:rsidRDefault="009475E3" w:rsidP="009475E3">
      <w:pPr>
        <w:spacing w:after="0" w:line="360"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5. Нормативные коэффициенты запаса устойчивости рабочих уступов и бортов в скальных породах принимаются равными 1,2.</w:t>
      </w:r>
    </w:p>
    <w:p w14:paraId="1552D332" w14:textId="77777777" w:rsidR="009475E3" w:rsidRPr="00ED2500" w:rsidRDefault="009475E3" w:rsidP="009475E3">
      <w:pPr>
        <w:spacing w:after="0" w:line="360"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6. Для сейсмически активных районов с балльностью 7 баллов и выше нормативные коэффициенты запаса должны быть скорректированы в соответствии с Прил. 14, либо при расчете баланса удерживающих и сдвигающих сил должно быть введено дополнительное сдвигающее усилие (Прил. 14).</w:t>
      </w:r>
    </w:p>
    <w:p w14:paraId="257CDD4A" w14:textId="77777777" w:rsidR="009475E3" w:rsidRPr="00ED2500" w:rsidRDefault="009475E3" w:rsidP="009475E3">
      <w:pPr>
        <w:spacing w:after="0" w:line="360"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7. При отсыпке отвала в режиме управляемой деформации нормативный коэффициент запаса устойчивости не регламентируется. Безопасность работ обеспечивается режимами отсыпки отвальной массы и мониторингом состояния площадок разгрузки.</w:t>
      </w:r>
      <w:bookmarkStart w:id="2" w:name="_GoBack"/>
      <w:bookmarkEnd w:id="2"/>
    </w:p>
    <w:sectPr w:rsidR="009475E3" w:rsidRPr="00ED2500" w:rsidSect="007F44E1">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1C589" w14:textId="77777777" w:rsidR="00266B86" w:rsidRDefault="00266B86" w:rsidP="00DD0139">
      <w:pPr>
        <w:spacing w:after="0" w:line="240" w:lineRule="auto"/>
      </w:pPr>
      <w:r>
        <w:separator/>
      </w:r>
    </w:p>
  </w:endnote>
  <w:endnote w:type="continuationSeparator" w:id="0">
    <w:p w14:paraId="6E279071" w14:textId="77777777" w:rsidR="00266B86" w:rsidRDefault="00266B86" w:rsidP="00D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BC063" w14:textId="77777777" w:rsidR="00266B86" w:rsidRDefault="00266B86" w:rsidP="00DD0139">
      <w:pPr>
        <w:spacing w:after="0" w:line="240" w:lineRule="auto"/>
      </w:pPr>
      <w:r>
        <w:separator/>
      </w:r>
    </w:p>
  </w:footnote>
  <w:footnote w:type="continuationSeparator" w:id="0">
    <w:p w14:paraId="0D7310F6" w14:textId="77777777" w:rsidR="00266B86" w:rsidRDefault="00266B86" w:rsidP="00DD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64DF8"/>
    <w:lvl w:ilvl="0">
      <w:numFmt w:val="bullet"/>
      <w:lvlText w:val="*"/>
      <w:lvlJc w:val="left"/>
    </w:lvl>
  </w:abstractNum>
  <w:abstractNum w:abstractNumId="1">
    <w:nsid w:val="048101C1"/>
    <w:multiLevelType w:val="hybridMultilevel"/>
    <w:tmpl w:val="DEF86430"/>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9E0ABE"/>
    <w:multiLevelType w:val="hybridMultilevel"/>
    <w:tmpl w:val="A96C1BF2"/>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54E24"/>
    <w:multiLevelType w:val="hybridMultilevel"/>
    <w:tmpl w:val="E36410E2"/>
    <w:lvl w:ilvl="0" w:tplc="931C34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7A5014"/>
    <w:multiLevelType w:val="hybridMultilevel"/>
    <w:tmpl w:val="89284E8C"/>
    <w:lvl w:ilvl="0" w:tplc="931C34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C82421"/>
    <w:multiLevelType w:val="hybridMultilevel"/>
    <w:tmpl w:val="62BA11C8"/>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4C0"/>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A7046"/>
    <w:multiLevelType w:val="multilevel"/>
    <w:tmpl w:val="DEA60B8E"/>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13CD46BC"/>
    <w:multiLevelType w:val="hybridMultilevel"/>
    <w:tmpl w:val="CF86F544"/>
    <w:lvl w:ilvl="0" w:tplc="F1ACE5FE">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593574F"/>
    <w:multiLevelType w:val="hybridMultilevel"/>
    <w:tmpl w:val="F612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F4898"/>
    <w:multiLevelType w:val="hybridMultilevel"/>
    <w:tmpl w:val="6F2A1BDA"/>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057AF"/>
    <w:multiLevelType w:val="hybridMultilevel"/>
    <w:tmpl w:val="3E5E3140"/>
    <w:lvl w:ilvl="0" w:tplc="7BBA0C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1712334C"/>
    <w:multiLevelType w:val="hybridMultilevel"/>
    <w:tmpl w:val="5414EB12"/>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30493"/>
    <w:multiLevelType w:val="hybridMultilevel"/>
    <w:tmpl w:val="64EE642E"/>
    <w:lvl w:ilvl="0" w:tplc="7BBA0C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E145F9"/>
    <w:multiLevelType w:val="hybridMultilevel"/>
    <w:tmpl w:val="6772EED2"/>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5351CF"/>
    <w:multiLevelType w:val="multilevel"/>
    <w:tmpl w:val="344C9FCE"/>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257122FC"/>
    <w:multiLevelType w:val="multilevel"/>
    <w:tmpl w:val="B9928B3C"/>
    <w:lvl w:ilvl="0">
      <w:start w:val="3"/>
      <w:numFmt w:val="decimal"/>
      <w:lvlText w:val="%1."/>
      <w:lvlJc w:val="left"/>
      <w:pPr>
        <w:ind w:left="396" w:hanging="396"/>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7">
    <w:nsid w:val="25CF26AF"/>
    <w:multiLevelType w:val="hybridMultilevel"/>
    <w:tmpl w:val="8C204F6E"/>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7B625DB"/>
    <w:multiLevelType w:val="multilevel"/>
    <w:tmpl w:val="14404830"/>
    <w:lvl w:ilvl="0">
      <w:start w:val="3"/>
      <w:numFmt w:val="none"/>
      <w:lvlText w:val="2"/>
      <w:lvlJc w:val="left"/>
      <w:pPr>
        <w:ind w:left="360" w:hanging="360"/>
      </w:pPr>
      <w:rPr>
        <w:rFonts w:hint="default"/>
      </w:rPr>
    </w:lvl>
    <w:lvl w:ilvl="1">
      <w:start w:val="1"/>
      <w:numFmt w:val="decimal"/>
      <w:lvlText w:val="%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9">
    <w:nsid w:val="27D263C4"/>
    <w:multiLevelType w:val="multilevel"/>
    <w:tmpl w:val="D9764186"/>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2A5B2FE5"/>
    <w:multiLevelType w:val="hybridMultilevel"/>
    <w:tmpl w:val="248427A8"/>
    <w:lvl w:ilvl="0" w:tplc="5D7826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D206514"/>
    <w:multiLevelType w:val="hybridMultilevel"/>
    <w:tmpl w:val="0CFC7F7A"/>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2BB6F23"/>
    <w:multiLevelType w:val="hybridMultilevel"/>
    <w:tmpl w:val="A8E0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2E11CB"/>
    <w:multiLevelType w:val="hybridMultilevel"/>
    <w:tmpl w:val="AFF83E72"/>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4E6018"/>
    <w:multiLevelType w:val="multilevel"/>
    <w:tmpl w:val="A7CE0646"/>
    <w:lvl w:ilvl="0">
      <w:start w:val="8"/>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4E97DBB"/>
    <w:multiLevelType w:val="hybridMultilevel"/>
    <w:tmpl w:val="8306EBA2"/>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A7018E"/>
    <w:multiLevelType w:val="hybridMultilevel"/>
    <w:tmpl w:val="BA084672"/>
    <w:lvl w:ilvl="0" w:tplc="B75A6914">
      <w:start w:val="1"/>
      <w:numFmt w:val="bullet"/>
      <w:lvlText w:val="-"/>
      <w:lvlJc w:val="left"/>
      <w:pPr>
        <w:ind w:left="1362" w:hanging="360"/>
      </w:pPr>
      <w:rPr>
        <w:rFonts w:ascii="Times New Roman" w:eastAsia="Times New Roman" w:hAnsi="Times New Roman"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7">
    <w:nsid w:val="43EC6EF7"/>
    <w:multiLevelType w:val="hybridMultilevel"/>
    <w:tmpl w:val="9EE8BCB4"/>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DC48FE"/>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7B4C62"/>
    <w:multiLevelType w:val="hybridMultilevel"/>
    <w:tmpl w:val="0110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CF6180"/>
    <w:multiLevelType w:val="hybridMultilevel"/>
    <w:tmpl w:val="5BE6ED18"/>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B9E3633"/>
    <w:multiLevelType w:val="hybridMultilevel"/>
    <w:tmpl w:val="04F6B6B0"/>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A24A0C"/>
    <w:multiLevelType w:val="hybridMultilevel"/>
    <w:tmpl w:val="FE5E0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0F0831"/>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4529EC"/>
    <w:multiLevelType w:val="hybridMultilevel"/>
    <w:tmpl w:val="D7C43396"/>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AB484F"/>
    <w:multiLevelType w:val="hybridMultilevel"/>
    <w:tmpl w:val="6F884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2491137"/>
    <w:multiLevelType w:val="multilevel"/>
    <w:tmpl w:val="59D26484"/>
    <w:lvl w:ilvl="0">
      <w:start w:val="8"/>
      <w:numFmt w:val="decimal"/>
      <w:lvlText w:val="%1."/>
      <w:lvlJc w:val="left"/>
      <w:pPr>
        <w:ind w:left="396" w:hanging="39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35B0F08"/>
    <w:multiLevelType w:val="hybridMultilevel"/>
    <w:tmpl w:val="DFE4DB24"/>
    <w:lvl w:ilvl="0" w:tplc="1754520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022514"/>
    <w:multiLevelType w:val="hybridMultilevel"/>
    <w:tmpl w:val="5E380674"/>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DC4FC0"/>
    <w:multiLevelType w:val="hybridMultilevel"/>
    <w:tmpl w:val="9C04C5E0"/>
    <w:lvl w:ilvl="0" w:tplc="53AE8B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9931714"/>
    <w:multiLevelType w:val="singleLevel"/>
    <w:tmpl w:val="21E6EAD2"/>
    <w:lvl w:ilvl="0">
      <w:start w:val="1"/>
      <w:numFmt w:val="decimal"/>
      <w:lvlText w:val="%1)"/>
      <w:lvlJc w:val="left"/>
      <w:pPr>
        <w:tabs>
          <w:tab w:val="num" w:pos="927"/>
        </w:tabs>
        <w:ind w:left="927" w:hanging="360"/>
      </w:pPr>
      <w:rPr>
        <w:rFonts w:hint="default"/>
      </w:rPr>
    </w:lvl>
  </w:abstractNum>
  <w:abstractNum w:abstractNumId="41">
    <w:nsid w:val="5AB81098"/>
    <w:multiLevelType w:val="hybridMultilevel"/>
    <w:tmpl w:val="668CA556"/>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5C2D6648"/>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997062"/>
    <w:multiLevelType w:val="hybridMultilevel"/>
    <w:tmpl w:val="BAA03A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5609AB"/>
    <w:multiLevelType w:val="multilevel"/>
    <w:tmpl w:val="8848AE3C"/>
    <w:lvl w:ilvl="0">
      <w:start w:val="2"/>
      <w:numFmt w:val="decimal"/>
      <w:lvlText w:val="%1."/>
      <w:lvlJc w:val="left"/>
      <w:pPr>
        <w:ind w:left="396" w:hanging="396"/>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666AAC"/>
    <w:multiLevelType w:val="hybridMultilevel"/>
    <w:tmpl w:val="4F92E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10E188E"/>
    <w:multiLevelType w:val="hybridMultilevel"/>
    <w:tmpl w:val="DF487086"/>
    <w:lvl w:ilvl="0" w:tplc="AC44553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510082"/>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7D2F5B"/>
    <w:multiLevelType w:val="hybridMultilevel"/>
    <w:tmpl w:val="DDCA1EA0"/>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055B92"/>
    <w:multiLevelType w:val="hybridMultilevel"/>
    <w:tmpl w:val="D95E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21B66"/>
    <w:multiLevelType w:val="hybridMultilevel"/>
    <w:tmpl w:val="BF186E3C"/>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950DA6"/>
    <w:multiLevelType w:val="hybridMultilevel"/>
    <w:tmpl w:val="6C6E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CE23D0"/>
    <w:multiLevelType w:val="hybridMultilevel"/>
    <w:tmpl w:val="47C4A3DE"/>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C7C7EE4"/>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CF56EC"/>
    <w:multiLevelType w:val="hybridMultilevel"/>
    <w:tmpl w:val="E55698A6"/>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4C3126"/>
    <w:multiLevelType w:val="multilevel"/>
    <w:tmpl w:val="7E7273DE"/>
    <w:lvl w:ilvl="0">
      <w:start w:val="3"/>
      <w:numFmt w:val="none"/>
      <w:lvlText w:val="2"/>
      <w:lvlJc w:val="left"/>
      <w:pPr>
        <w:ind w:left="360" w:hanging="360"/>
      </w:pPr>
      <w:rPr>
        <w:rFonts w:hint="default"/>
      </w:rPr>
    </w:lvl>
    <w:lvl w:ilvl="1">
      <w:start w:val="1"/>
      <w:numFmt w:val="bullet"/>
      <w:lvlText w:val=""/>
      <w:lvlJc w:val="left"/>
      <w:pPr>
        <w:ind w:left="828" w:hanging="360"/>
      </w:pPr>
      <w:rPr>
        <w:rFonts w:ascii="Symbol" w:hAnsi="Symbol"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56">
    <w:nsid w:val="7E9A216D"/>
    <w:multiLevelType w:val="multilevel"/>
    <w:tmpl w:val="FB628B4A"/>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6"/>
  </w:num>
  <w:num w:numId="3">
    <w:abstractNumId w:val="3"/>
  </w:num>
  <w:num w:numId="4">
    <w:abstractNumId w:val="1"/>
  </w:num>
  <w:num w:numId="5">
    <w:abstractNumId w:val="19"/>
  </w:num>
  <w:num w:numId="6">
    <w:abstractNumId w:val="7"/>
  </w:num>
  <w:num w:numId="7">
    <w:abstractNumId w:val="31"/>
  </w:num>
  <w:num w:numId="8">
    <w:abstractNumId w:val="44"/>
  </w:num>
  <w:num w:numId="9">
    <w:abstractNumId w:val="10"/>
  </w:num>
  <w:num w:numId="10">
    <w:abstractNumId w:val="27"/>
  </w:num>
  <w:num w:numId="11">
    <w:abstractNumId w:val="13"/>
  </w:num>
  <w:num w:numId="12">
    <w:abstractNumId w:val="30"/>
  </w:num>
  <w:num w:numId="13">
    <w:abstractNumId w:val="34"/>
  </w:num>
  <w:num w:numId="14">
    <w:abstractNumId w:val="21"/>
  </w:num>
  <w:num w:numId="15">
    <w:abstractNumId w:val="11"/>
  </w:num>
  <w:num w:numId="16">
    <w:abstractNumId w:val="8"/>
  </w:num>
  <w:num w:numId="17">
    <w:abstractNumId w:val="46"/>
  </w:num>
  <w:num w:numId="18">
    <w:abstractNumId w:val="37"/>
  </w:num>
  <w:num w:numId="19">
    <w:abstractNumId w:val="39"/>
  </w:num>
  <w:num w:numId="20">
    <w:abstractNumId w:val="45"/>
  </w:num>
  <w:num w:numId="21">
    <w:abstractNumId w:val="33"/>
  </w:num>
  <w:num w:numId="22">
    <w:abstractNumId w:val="42"/>
  </w:num>
  <w:num w:numId="23">
    <w:abstractNumId w:val="6"/>
  </w:num>
  <w:num w:numId="24">
    <w:abstractNumId w:val="53"/>
  </w:num>
  <w:num w:numId="25">
    <w:abstractNumId w:val="47"/>
  </w:num>
  <w:num w:numId="26">
    <w:abstractNumId w:val="28"/>
  </w:num>
  <w:num w:numId="27">
    <w:abstractNumId w:val="35"/>
  </w:num>
  <w:num w:numId="28">
    <w:abstractNumId w:val="5"/>
  </w:num>
  <w:num w:numId="29">
    <w:abstractNumId w:val="2"/>
  </w:num>
  <w:num w:numId="30">
    <w:abstractNumId w:val="48"/>
  </w:num>
  <w:num w:numId="31">
    <w:abstractNumId w:val="12"/>
  </w:num>
  <w:num w:numId="32">
    <w:abstractNumId w:val="51"/>
  </w:num>
  <w:num w:numId="33">
    <w:abstractNumId w:val="4"/>
  </w:num>
  <w:num w:numId="34">
    <w:abstractNumId w:val="40"/>
  </w:num>
  <w:num w:numId="35">
    <w:abstractNumId w:val="23"/>
  </w:num>
  <w:num w:numId="36">
    <w:abstractNumId w:val="52"/>
  </w:num>
  <w:num w:numId="37">
    <w:abstractNumId w:val="17"/>
  </w:num>
  <w:num w:numId="38">
    <w:abstractNumId w:val="50"/>
  </w:num>
  <w:num w:numId="39">
    <w:abstractNumId w:val="54"/>
  </w:num>
  <w:num w:numId="40">
    <w:abstractNumId w:val="41"/>
  </w:num>
  <w:num w:numId="41">
    <w:abstractNumId w:val="25"/>
  </w:num>
  <w:num w:numId="42">
    <w:abstractNumId w:val="14"/>
  </w:num>
  <w:num w:numId="43">
    <w:abstractNumId w:val="18"/>
  </w:num>
  <w:num w:numId="44">
    <w:abstractNumId w:val="43"/>
  </w:num>
  <w:num w:numId="45">
    <w:abstractNumId w:val="16"/>
  </w:num>
  <w:num w:numId="46">
    <w:abstractNumId w:val="24"/>
  </w:num>
  <w:num w:numId="47">
    <w:abstractNumId w:val="36"/>
  </w:num>
  <w:num w:numId="48">
    <w:abstractNumId w:val="56"/>
  </w:num>
  <w:num w:numId="49">
    <w:abstractNumId w:val="9"/>
  </w:num>
  <w:num w:numId="50">
    <w:abstractNumId w:val="20"/>
  </w:num>
  <w:num w:numId="51">
    <w:abstractNumId w:val="22"/>
  </w:num>
  <w:num w:numId="52">
    <w:abstractNumId w:val="32"/>
  </w:num>
  <w:num w:numId="53">
    <w:abstractNumId w:val="29"/>
  </w:num>
  <w:num w:numId="54">
    <w:abstractNumId w:val="49"/>
  </w:num>
  <w:num w:numId="55">
    <w:abstractNumId w:val="15"/>
  </w:num>
  <w:num w:numId="56">
    <w:abstractNumId w:val="38"/>
  </w:num>
  <w:num w:numId="5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6B"/>
    <w:rsid w:val="000030F1"/>
    <w:rsid w:val="000407EF"/>
    <w:rsid w:val="0005184B"/>
    <w:rsid w:val="00062F04"/>
    <w:rsid w:val="000758D7"/>
    <w:rsid w:val="000D3070"/>
    <w:rsid w:val="000D3685"/>
    <w:rsid w:val="000F14B5"/>
    <w:rsid w:val="00100623"/>
    <w:rsid w:val="00105492"/>
    <w:rsid w:val="001316EC"/>
    <w:rsid w:val="00134F5E"/>
    <w:rsid w:val="00136832"/>
    <w:rsid w:val="00163514"/>
    <w:rsid w:val="00177601"/>
    <w:rsid w:val="001C464C"/>
    <w:rsid w:val="001C7F76"/>
    <w:rsid w:val="001D266C"/>
    <w:rsid w:val="001D3B05"/>
    <w:rsid w:val="001E7769"/>
    <w:rsid w:val="0022494D"/>
    <w:rsid w:val="00265388"/>
    <w:rsid w:val="002668AA"/>
    <w:rsid w:val="00266B86"/>
    <w:rsid w:val="00294212"/>
    <w:rsid w:val="002A3161"/>
    <w:rsid w:val="002C3A49"/>
    <w:rsid w:val="00303ECC"/>
    <w:rsid w:val="00310B3E"/>
    <w:rsid w:val="00334E78"/>
    <w:rsid w:val="003527C2"/>
    <w:rsid w:val="00355FAD"/>
    <w:rsid w:val="00367FEC"/>
    <w:rsid w:val="00372B34"/>
    <w:rsid w:val="00395F1B"/>
    <w:rsid w:val="003D30EE"/>
    <w:rsid w:val="003D4D11"/>
    <w:rsid w:val="003E78DF"/>
    <w:rsid w:val="00437F93"/>
    <w:rsid w:val="00450C7B"/>
    <w:rsid w:val="00454E50"/>
    <w:rsid w:val="00455AA5"/>
    <w:rsid w:val="004627BA"/>
    <w:rsid w:val="00470E63"/>
    <w:rsid w:val="00494703"/>
    <w:rsid w:val="004C1E64"/>
    <w:rsid w:val="004D5D7D"/>
    <w:rsid w:val="004E16C8"/>
    <w:rsid w:val="004E18BE"/>
    <w:rsid w:val="00511C47"/>
    <w:rsid w:val="00521706"/>
    <w:rsid w:val="00562D8D"/>
    <w:rsid w:val="005730B7"/>
    <w:rsid w:val="00577763"/>
    <w:rsid w:val="00580E15"/>
    <w:rsid w:val="005A5145"/>
    <w:rsid w:val="005B3812"/>
    <w:rsid w:val="005E694A"/>
    <w:rsid w:val="00614BA7"/>
    <w:rsid w:val="006657FE"/>
    <w:rsid w:val="00665803"/>
    <w:rsid w:val="00693749"/>
    <w:rsid w:val="006A3CC4"/>
    <w:rsid w:val="006A5415"/>
    <w:rsid w:val="006C6B62"/>
    <w:rsid w:val="006F5009"/>
    <w:rsid w:val="0070041A"/>
    <w:rsid w:val="00717947"/>
    <w:rsid w:val="00726D59"/>
    <w:rsid w:val="00772BA6"/>
    <w:rsid w:val="00784667"/>
    <w:rsid w:val="00790DE5"/>
    <w:rsid w:val="007A5E12"/>
    <w:rsid w:val="007A72C1"/>
    <w:rsid w:val="007B5E7D"/>
    <w:rsid w:val="007E00EA"/>
    <w:rsid w:val="007F44E1"/>
    <w:rsid w:val="008062EB"/>
    <w:rsid w:val="0081093E"/>
    <w:rsid w:val="0082679F"/>
    <w:rsid w:val="008427FD"/>
    <w:rsid w:val="008552A1"/>
    <w:rsid w:val="0088620D"/>
    <w:rsid w:val="00892F5F"/>
    <w:rsid w:val="00893CDD"/>
    <w:rsid w:val="008E0D90"/>
    <w:rsid w:val="008E1BE6"/>
    <w:rsid w:val="00902D3F"/>
    <w:rsid w:val="00906794"/>
    <w:rsid w:val="0092148D"/>
    <w:rsid w:val="009323C2"/>
    <w:rsid w:val="009361BD"/>
    <w:rsid w:val="00946301"/>
    <w:rsid w:val="009475E3"/>
    <w:rsid w:val="00961390"/>
    <w:rsid w:val="00973F03"/>
    <w:rsid w:val="009A3A03"/>
    <w:rsid w:val="009B3874"/>
    <w:rsid w:val="009B4B60"/>
    <w:rsid w:val="009C76E2"/>
    <w:rsid w:val="009F6471"/>
    <w:rsid w:val="00A00703"/>
    <w:rsid w:val="00A06FA4"/>
    <w:rsid w:val="00A610C6"/>
    <w:rsid w:val="00A675FD"/>
    <w:rsid w:val="00A83314"/>
    <w:rsid w:val="00AB058F"/>
    <w:rsid w:val="00AB67E2"/>
    <w:rsid w:val="00AE1002"/>
    <w:rsid w:val="00B52045"/>
    <w:rsid w:val="00B62B64"/>
    <w:rsid w:val="00B8086B"/>
    <w:rsid w:val="00B92DB1"/>
    <w:rsid w:val="00B94A19"/>
    <w:rsid w:val="00BA2ECE"/>
    <w:rsid w:val="00BB3CF3"/>
    <w:rsid w:val="00BD5D80"/>
    <w:rsid w:val="00C33137"/>
    <w:rsid w:val="00C44F2B"/>
    <w:rsid w:val="00C53233"/>
    <w:rsid w:val="00C64CBE"/>
    <w:rsid w:val="00C6782C"/>
    <w:rsid w:val="00C7373B"/>
    <w:rsid w:val="00C74309"/>
    <w:rsid w:val="00C833BE"/>
    <w:rsid w:val="00CA35DF"/>
    <w:rsid w:val="00CA64A4"/>
    <w:rsid w:val="00CB257C"/>
    <w:rsid w:val="00CE65B9"/>
    <w:rsid w:val="00D161DB"/>
    <w:rsid w:val="00D37FF4"/>
    <w:rsid w:val="00D40A9D"/>
    <w:rsid w:val="00D41E9F"/>
    <w:rsid w:val="00D47B0B"/>
    <w:rsid w:val="00D628AE"/>
    <w:rsid w:val="00D8201F"/>
    <w:rsid w:val="00DD0139"/>
    <w:rsid w:val="00DF7C54"/>
    <w:rsid w:val="00E617B2"/>
    <w:rsid w:val="00E67681"/>
    <w:rsid w:val="00E7599A"/>
    <w:rsid w:val="00E96078"/>
    <w:rsid w:val="00E96201"/>
    <w:rsid w:val="00EA200D"/>
    <w:rsid w:val="00EB0C1B"/>
    <w:rsid w:val="00EB773A"/>
    <w:rsid w:val="00ED11C2"/>
    <w:rsid w:val="00ED2500"/>
    <w:rsid w:val="00EE0C06"/>
    <w:rsid w:val="00EF75E3"/>
    <w:rsid w:val="00F138FD"/>
    <w:rsid w:val="00F24713"/>
    <w:rsid w:val="00F30DAE"/>
    <w:rsid w:val="00F4590F"/>
    <w:rsid w:val="00F67312"/>
    <w:rsid w:val="00F77927"/>
    <w:rsid w:val="00F96058"/>
    <w:rsid w:val="00FD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E81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BA53-1D0B-41AC-AD89-4D8C2243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2019-05-27T12:46:00Z</cp:lastPrinted>
  <dcterms:created xsi:type="dcterms:W3CDTF">2019-06-14T11:42:00Z</dcterms:created>
  <dcterms:modified xsi:type="dcterms:W3CDTF">2019-06-14T11:43:00Z</dcterms:modified>
</cp:coreProperties>
</file>